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257BB">
      <w:pPr>
        <w:spacing w:line="246" w:lineRule="auto"/>
        <w:ind w:firstLine="480"/>
        <w:rPr>
          <w:rFonts w:cs="Times New Roman"/>
          <w:highlight w:val="yellow"/>
        </w:rPr>
      </w:pPr>
    </w:p>
    <w:p w14:paraId="78AC8C27">
      <w:pPr>
        <w:spacing w:line="246" w:lineRule="auto"/>
        <w:ind w:firstLine="480"/>
        <w:rPr>
          <w:rFonts w:cs="Times New Roman"/>
          <w:highlight w:val="yellow"/>
        </w:rPr>
      </w:pPr>
    </w:p>
    <w:p w14:paraId="0E89B19A">
      <w:pPr>
        <w:spacing w:line="247" w:lineRule="auto"/>
        <w:ind w:firstLine="480"/>
        <w:rPr>
          <w:rFonts w:cs="Times New Roman"/>
          <w:highlight w:val="yellow"/>
        </w:rPr>
      </w:pPr>
    </w:p>
    <w:p w14:paraId="536F171E">
      <w:pPr>
        <w:pStyle w:val="15"/>
        <w:ind w:firstLine="480"/>
        <w:rPr>
          <w:rFonts w:cs="Times New Roman"/>
          <w:highlight w:val="yellow"/>
        </w:rPr>
      </w:pPr>
    </w:p>
    <w:p w14:paraId="67D6C040">
      <w:pPr>
        <w:spacing w:line="247" w:lineRule="auto"/>
        <w:ind w:firstLine="480"/>
        <w:rPr>
          <w:rFonts w:cs="Times New Roman"/>
        </w:rPr>
      </w:pPr>
    </w:p>
    <w:p w14:paraId="349A35BC">
      <w:pPr>
        <w:spacing w:line="247" w:lineRule="auto"/>
        <w:ind w:firstLine="480"/>
        <w:jc w:val="center"/>
        <w:rPr>
          <w:rFonts w:cs="Times New Roman"/>
        </w:rPr>
      </w:pPr>
    </w:p>
    <w:p w14:paraId="1B0C4903">
      <w:pPr>
        <w:spacing w:line="246" w:lineRule="auto"/>
        <w:ind w:firstLine="0" w:firstLineChars="0"/>
        <w:jc w:val="center"/>
        <w:rPr>
          <w:rFonts w:cs="Times New Roman"/>
          <w:spacing w:val="1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cs="Times New Roman"/>
          <w:spacing w:val="1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济源国泰西子河畔地块土壤污染状况</w:t>
      </w:r>
    </w:p>
    <w:p w14:paraId="4159B827">
      <w:pPr>
        <w:spacing w:line="246" w:lineRule="auto"/>
        <w:ind w:firstLine="0" w:firstLineChars="0"/>
        <w:jc w:val="center"/>
        <w:rPr>
          <w:rFonts w:cs="Times New Roman"/>
          <w:spacing w:val="1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cs="Times New Roman"/>
          <w:spacing w:val="1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调查报告</w:t>
      </w:r>
    </w:p>
    <w:p w14:paraId="0AA4796A">
      <w:pPr>
        <w:spacing w:line="246" w:lineRule="auto"/>
        <w:ind w:firstLine="0" w:firstLineChars="0"/>
        <w:jc w:val="center"/>
        <w:rPr>
          <w:rFonts w:cs="Times New Roman"/>
          <w:spacing w:val="1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540F88E4">
      <w:pPr>
        <w:spacing w:line="246" w:lineRule="auto"/>
        <w:ind w:firstLine="0" w:firstLineChars="0"/>
        <w:jc w:val="center"/>
        <w:rPr>
          <w:rFonts w:cs="Times New Roman"/>
          <w:spacing w:val="1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29FA959F">
      <w:pPr>
        <w:spacing w:line="246" w:lineRule="auto"/>
        <w:ind w:firstLine="0" w:firstLineChars="0"/>
        <w:jc w:val="center"/>
        <w:rPr>
          <w:rFonts w:cs="Times New Roman"/>
          <w:spacing w:val="1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cs="Times New Roman"/>
          <w:spacing w:val="1"/>
          <w:sz w:val="48"/>
          <w:szCs w:val="48"/>
          <w:lang w:eastAsia="zh-CN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cs="Times New Roman"/>
          <w:spacing w:val="1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归档</w:t>
      </w:r>
      <w:r>
        <w:rPr>
          <w:rFonts w:cs="Times New Roman"/>
          <w:spacing w:val="1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版</w:t>
      </w:r>
      <w:r>
        <w:rPr>
          <w:rFonts w:hint="eastAsia" w:cs="Times New Roman"/>
          <w:spacing w:val="1"/>
          <w:sz w:val="48"/>
          <w:szCs w:val="48"/>
          <w:lang w:eastAsia="zh-CN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 w14:paraId="0D4ACC5B">
      <w:pPr>
        <w:spacing w:line="246" w:lineRule="auto"/>
        <w:ind w:firstLine="480"/>
        <w:rPr>
          <w:rFonts w:cs="Times New Roman"/>
          <w:highlight w:val="yellow"/>
        </w:rPr>
      </w:pPr>
    </w:p>
    <w:p w14:paraId="098E7F80">
      <w:pPr>
        <w:spacing w:line="246" w:lineRule="auto"/>
        <w:ind w:firstLine="480"/>
        <w:rPr>
          <w:rFonts w:cs="Times New Roman"/>
          <w:highlight w:val="yellow"/>
        </w:rPr>
      </w:pPr>
    </w:p>
    <w:p w14:paraId="3ABE0D12">
      <w:pPr>
        <w:spacing w:line="246" w:lineRule="auto"/>
        <w:ind w:firstLine="480"/>
        <w:rPr>
          <w:rFonts w:cs="Times New Roman"/>
          <w:highlight w:val="yellow"/>
        </w:rPr>
      </w:pPr>
    </w:p>
    <w:p w14:paraId="28082E87">
      <w:pPr>
        <w:spacing w:line="246" w:lineRule="auto"/>
        <w:ind w:firstLine="480"/>
        <w:rPr>
          <w:rFonts w:cs="Times New Roman"/>
          <w:highlight w:val="yellow"/>
        </w:rPr>
      </w:pPr>
    </w:p>
    <w:p w14:paraId="5CEDB35A">
      <w:pPr>
        <w:spacing w:line="246" w:lineRule="auto"/>
        <w:ind w:firstLine="480"/>
        <w:rPr>
          <w:rFonts w:cs="Times New Roman"/>
          <w:highlight w:val="yellow"/>
        </w:rPr>
      </w:pPr>
    </w:p>
    <w:p w14:paraId="26067A62">
      <w:pPr>
        <w:spacing w:line="246" w:lineRule="auto"/>
        <w:ind w:firstLine="480"/>
        <w:rPr>
          <w:rFonts w:cs="Times New Roman"/>
          <w:highlight w:val="yellow"/>
        </w:rPr>
      </w:pPr>
    </w:p>
    <w:p w14:paraId="6191D0A6">
      <w:pPr>
        <w:spacing w:line="246" w:lineRule="auto"/>
        <w:ind w:firstLine="480"/>
        <w:rPr>
          <w:rFonts w:cs="Times New Roman"/>
          <w:highlight w:val="yellow"/>
        </w:rPr>
      </w:pPr>
    </w:p>
    <w:p w14:paraId="31FE6259">
      <w:pPr>
        <w:spacing w:line="246" w:lineRule="auto"/>
        <w:ind w:firstLine="480"/>
        <w:rPr>
          <w:rFonts w:cs="Times New Roman"/>
          <w:highlight w:val="yellow"/>
        </w:rPr>
      </w:pPr>
    </w:p>
    <w:p w14:paraId="070FB558">
      <w:pPr>
        <w:pStyle w:val="15"/>
        <w:ind w:left="0" w:firstLine="0" w:firstLineChars="0"/>
        <w:rPr>
          <w:rFonts w:cs="Times New Roman"/>
          <w:highlight w:val="yellow"/>
        </w:rPr>
      </w:pPr>
    </w:p>
    <w:p w14:paraId="00ACAF9D">
      <w:pPr>
        <w:spacing w:line="246" w:lineRule="auto"/>
        <w:ind w:firstLine="480"/>
        <w:rPr>
          <w:rFonts w:cs="Times New Roman"/>
          <w:highlight w:val="yellow"/>
        </w:rPr>
      </w:pPr>
    </w:p>
    <w:p w14:paraId="7BD9C7D0">
      <w:pPr>
        <w:spacing w:line="246" w:lineRule="auto"/>
        <w:ind w:firstLine="480"/>
        <w:rPr>
          <w:rFonts w:cs="Times New Roman"/>
          <w:highlight w:val="yellow"/>
        </w:rPr>
      </w:pPr>
    </w:p>
    <w:p w14:paraId="6CD37617">
      <w:pPr>
        <w:spacing w:line="246" w:lineRule="auto"/>
        <w:ind w:firstLine="480"/>
        <w:rPr>
          <w:rFonts w:cs="Times New Roman"/>
          <w:highlight w:val="yellow"/>
        </w:rPr>
      </w:pPr>
    </w:p>
    <w:p w14:paraId="07663B95">
      <w:pPr>
        <w:spacing w:line="246" w:lineRule="auto"/>
        <w:ind w:firstLine="480"/>
        <w:rPr>
          <w:rFonts w:cs="Times New Roman"/>
          <w:highlight w:val="yellow"/>
        </w:rPr>
      </w:pPr>
    </w:p>
    <w:p w14:paraId="780873E7">
      <w:pPr>
        <w:spacing w:line="246" w:lineRule="auto"/>
        <w:ind w:firstLine="480"/>
        <w:rPr>
          <w:rFonts w:cs="Times New Roman"/>
          <w:highlight w:val="yellow"/>
        </w:rPr>
      </w:pPr>
    </w:p>
    <w:p w14:paraId="77536EA2">
      <w:pPr>
        <w:spacing w:line="246" w:lineRule="auto"/>
        <w:ind w:firstLine="480"/>
        <w:rPr>
          <w:rFonts w:cs="Times New Roman"/>
          <w:highlight w:val="yellow"/>
        </w:rPr>
      </w:pPr>
    </w:p>
    <w:p w14:paraId="56C837A8">
      <w:pPr>
        <w:spacing w:line="246" w:lineRule="auto"/>
        <w:ind w:firstLine="480"/>
        <w:rPr>
          <w:rFonts w:cs="Times New Roman"/>
          <w:highlight w:val="yellow"/>
        </w:rPr>
      </w:pPr>
    </w:p>
    <w:p w14:paraId="5A0C1D25">
      <w:pPr>
        <w:spacing w:line="247" w:lineRule="auto"/>
        <w:ind w:firstLine="0" w:firstLineChars="0"/>
        <w:rPr>
          <w:rFonts w:cs="Times New Roman"/>
          <w:highlight w:val="yellow"/>
        </w:rPr>
      </w:pPr>
    </w:p>
    <w:p w14:paraId="1DC6EA9D">
      <w:pPr>
        <w:spacing w:line="247" w:lineRule="auto"/>
        <w:ind w:firstLine="480"/>
        <w:rPr>
          <w:rFonts w:cs="Times New Roman"/>
          <w:highlight w:val="yellow"/>
        </w:rPr>
      </w:pPr>
    </w:p>
    <w:p w14:paraId="7323382A">
      <w:pPr>
        <w:spacing w:before="296" w:line="220" w:lineRule="auto"/>
        <w:ind w:left="122" w:firstLine="1740" w:firstLineChars="600"/>
        <w:rPr>
          <w:rFonts w:cs="Times New Roman"/>
          <w:spacing w:val="-5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cs="Times New Roman"/>
          <w:spacing w:val="-5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提交单位：河南济源（钢铁）集团有限公司</w:t>
      </w:r>
    </w:p>
    <w:p w14:paraId="292E86C4">
      <w:pPr>
        <w:spacing w:before="296" w:line="220" w:lineRule="auto"/>
        <w:ind w:left="122" w:firstLine="1740" w:firstLineChars="600"/>
        <w:rPr>
          <w:rFonts w:cs="Times New Roman"/>
        </w:rPr>
      </w:pPr>
      <w:r>
        <w:rPr>
          <w:rFonts w:cs="Times New Roman"/>
          <w:spacing w:val="-5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编制单位：河南省岩石矿物</w:t>
      </w:r>
      <w:r>
        <w:rPr>
          <w:rFonts w:cs="Times New Roman"/>
          <w:spacing w:val="-7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测试中心</w:t>
      </w:r>
    </w:p>
    <w:p w14:paraId="78F4C911">
      <w:pPr>
        <w:spacing w:before="296" w:line="220" w:lineRule="auto"/>
        <w:ind w:firstLine="1812" w:firstLineChars="600"/>
        <w:rPr>
          <w:rFonts w:cs="Times New Roman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cs="Times New Roman"/>
          <w:spacing w:val="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提交</w:t>
      </w:r>
      <w:r>
        <w:rPr>
          <w:rFonts w:cs="Times New Roman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日期：二〇二四年七月</w:t>
      </w:r>
    </w:p>
    <w:p w14:paraId="61D29666">
      <w:pPr>
        <w:pStyle w:val="15"/>
        <w:ind w:firstLine="600"/>
        <w:rPr>
          <w:rFonts w:cs="Times New Roman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66E09F65">
      <w:pPr>
        <w:ind w:firstLine="600"/>
        <w:rPr>
          <w:rFonts w:cs="Times New Roman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524FC573">
      <w:pPr>
        <w:pStyle w:val="15"/>
        <w:ind w:firstLine="600"/>
        <w:rPr>
          <w:rFonts w:cs="Times New Roman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5956ABDC">
      <w:pPr>
        <w:ind w:firstLine="600"/>
        <w:rPr>
          <w:rFonts w:cs="Times New Roman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6D0C0404">
      <w:pPr>
        <w:pStyle w:val="15"/>
        <w:ind w:firstLine="600"/>
        <w:rPr>
          <w:rFonts w:cs="Times New Roman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0102F947">
      <w:pPr>
        <w:ind w:left="1962" w:leftChars="232" w:hanging="1405" w:hangingChars="500"/>
        <w:rPr>
          <w:rFonts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济源国泰西子河畔地</w:t>
      </w:r>
      <w:bookmarkStart w:id="25" w:name="_GoBack"/>
      <w:bookmarkEnd w:id="25"/>
      <w:r>
        <w:rPr>
          <w:rFonts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块土壤污染状况调查</w:t>
      </w:r>
    </w:p>
    <w:p w14:paraId="6A21DAF4">
      <w:pPr>
        <w:ind w:firstLine="562"/>
        <w:rPr>
          <w:rFonts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委托单位：</w:t>
      </w:r>
      <w:r>
        <w:rPr>
          <w:rFonts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河南济源（钢铁）集团有限公司</w:t>
      </w:r>
    </w:p>
    <w:p w14:paraId="2FD9AB65">
      <w:pPr>
        <w:ind w:firstLine="562"/>
        <w:rPr>
          <w:rFonts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bookmarkStart w:id="0" w:name="_Toc4794"/>
      <w:r>
        <w:rPr>
          <w:rFonts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编制单位：</w:t>
      </w:r>
      <w:r>
        <w:rPr>
          <w:rFonts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河南省岩石矿物测试中心</w:t>
      </w:r>
      <w:bookmarkEnd w:id="0"/>
    </w:p>
    <w:p w14:paraId="4C90FE15">
      <w:pPr>
        <w:ind w:firstLine="562"/>
        <w:rPr>
          <w:rFonts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17054E7">
      <w:pPr>
        <w:snapToGrid/>
        <w:spacing w:before="100" w:after="100"/>
        <w:ind w:left="240" w:leftChars="1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报告编制人员名单：</w:t>
      </w:r>
    </w:p>
    <w:tbl>
      <w:tblPr>
        <w:tblStyle w:val="16"/>
        <w:tblW w:w="8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86"/>
        <w:gridCol w:w="1340"/>
        <w:gridCol w:w="1811"/>
        <w:gridCol w:w="851"/>
        <w:gridCol w:w="1701"/>
      </w:tblGrid>
      <w:tr w14:paraId="2ED3E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noWrap/>
            <w:vAlign w:val="center"/>
          </w:tcPr>
          <w:p w14:paraId="7D76039F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bookmarkStart w:id="1" w:name="_Toc20263"/>
            <w:bookmarkStart w:id="2" w:name="_Toc15955"/>
            <w:r>
              <w:rPr>
                <w:rFonts w:cs="Times New Roman"/>
                <w:color w:val="auto"/>
                <w:sz w:val="21"/>
                <w:lang w:bidi="zh-CN"/>
              </w:rPr>
              <w:t>主要职责</w:t>
            </w:r>
            <w:bookmarkEnd w:id="1"/>
            <w:bookmarkEnd w:id="2"/>
          </w:p>
        </w:tc>
        <w:tc>
          <w:tcPr>
            <w:tcW w:w="1286" w:type="dxa"/>
            <w:noWrap/>
            <w:vAlign w:val="center"/>
          </w:tcPr>
          <w:p w14:paraId="3375E592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bookmarkStart w:id="3" w:name="_Toc2165"/>
            <w:bookmarkStart w:id="4" w:name="_Toc3485"/>
            <w:r>
              <w:rPr>
                <w:rFonts w:cs="Times New Roman"/>
                <w:color w:val="auto"/>
                <w:sz w:val="21"/>
                <w:lang w:bidi="zh-CN"/>
              </w:rPr>
              <w:t>姓名</w:t>
            </w:r>
            <w:bookmarkEnd w:id="3"/>
            <w:bookmarkEnd w:id="4"/>
          </w:p>
        </w:tc>
        <w:tc>
          <w:tcPr>
            <w:tcW w:w="1340" w:type="dxa"/>
            <w:noWrap/>
            <w:vAlign w:val="center"/>
          </w:tcPr>
          <w:p w14:paraId="4CF4E0CA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bookmarkStart w:id="5" w:name="_Toc7375"/>
            <w:bookmarkStart w:id="6" w:name="_Toc27629"/>
            <w:r>
              <w:rPr>
                <w:rFonts w:cs="Times New Roman"/>
                <w:color w:val="auto"/>
                <w:sz w:val="21"/>
                <w:lang w:bidi="zh-CN"/>
              </w:rPr>
              <w:t>职务/职称</w:t>
            </w:r>
            <w:bookmarkEnd w:id="5"/>
            <w:bookmarkEnd w:id="6"/>
          </w:p>
        </w:tc>
        <w:tc>
          <w:tcPr>
            <w:tcW w:w="1811" w:type="dxa"/>
            <w:vAlign w:val="center"/>
          </w:tcPr>
          <w:p w14:paraId="69607B8C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bookmarkStart w:id="7" w:name="_Toc11254"/>
            <w:bookmarkStart w:id="8" w:name="_Toc4698"/>
            <w:r>
              <w:rPr>
                <w:rFonts w:cs="Times New Roman"/>
                <w:color w:val="auto"/>
                <w:sz w:val="21"/>
                <w:lang w:bidi="zh-CN"/>
              </w:rPr>
              <w:t>分工</w:t>
            </w:r>
            <w:bookmarkEnd w:id="7"/>
            <w:bookmarkEnd w:id="8"/>
          </w:p>
        </w:tc>
        <w:tc>
          <w:tcPr>
            <w:tcW w:w="851" w:type="dxa"/>
            <w:noWrap/>
            <w:vAlign w:val="center"/>
          </w:tcPr>
          <w:p w14:paraId="3570A5B8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bookmarkStart w:id="9" w:name="_Toc27793"/>
            <w:bookmarkStart w:id="10" w:name="_Toc28586"/>
            <w:r>
              <w:rPr>
                <w:rFonts w:cs="Times New Roman"/>
                <w:color w:val="auto"/>
                <w:sz w:val="21"/>
                <w:lang w:bidi="zh-CN"/>
              </w:rPr>
              <w:t>所属单位</w:t>
            </w:r>
            <w:bookmarkEnd w:id="9"/>
            <w:bookmarkEnd w:id="10"/>
          </w:p>
        </w:tc>
        <w:tc>
          <w:tcPr>
            <w:tcW w:w="1701" w:type="dxa"/>
            <w:noWrap/>
            <w:vAlign w:val="center"/>
          </w:tcPr>
          <w:p w14:paraId="3D9240FC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bookmarkStart w:id="11" w:name="_Toc10365"/>
            <w:bookmarkStart w:id="12" w:name="_Toc26596"/>
            <w:r>
              <w:rPr>
                <w:rFonts w:cs="Times New Roman"/>
                <w:color w:val="auto"/>
                <w:sz w:val="21"/>
                <w:lang w:bidi="zh-CN"/>
              </w:rPr>
              <w:t>签字</w:t>
            </w:r>
            <w:bookmarkEnd w:id="11"/>
            <w:bookmarkEnd w:id="12"/>
          </w:p>
        </w:tc>
      </w:tr>
      <w:tr w14:paraId="75FE8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96" w:type="dxa"/>
            <w:noWrap/>
            <w:vAlign w:val="center"/>
          </w:tcPr>
          <w:p w14:paraId="1222E228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bookmarkStart w:id="13" w:name="_Toc2282"/>
            <w:bookmarkStart w:id="14" w:name="_Toc25524"/>
            <w:r>
              <w:rPr>
                <w:rFonts w:cs="Times New Roman"/>
                <w:color w:val="auto"/>
                <w:sz w:val="21"/>
                <w:lang w:bidi="zh-CN"/>
              </w:rPr>
              <w:t>项目负责</w:t>
            </w:r>
            <w:bookmarkEnd w:id="13"/>
            <w:bookmarkEnd w:id="14"/>
          </w:p>
        </w:tc>
        <w:tc>
          <w:tcPr>
            <w:tcW w:w="1286" w:type="dxa"/>
            <w:noWrap/>
            <w:vAlign w:val="center"/>
          </w:tcPr>
          <w:p w14:paraId="5F4ACA5B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hint="eastAsia" w:cs="Times New Roman"/>
                <w:color w:val="auto"/>
                <w:sz w:val="21"/>
                <w:lang w:bidi="zh-CN"/>
              </w:rPr>
              <w:t>郑云鹏</w:t>
            </w:r>
          </w:p>
        </w:tc>
        <w:tc>
          <w:tcPr>
            <w:tcW w:w="1340" w:type="dxa"/>
            <w:noWrap/>
            <w:vAlign w:val="center"/>
          </w:tcPr>
          <w:p w14:paraId="5341FD3E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bookmarkStart w:id="15" w:name="_Toc5430"/>
            <w:bookmarkStart w:id="16" w:name="_Toc19511"/>
            <w:r>
              <w:rPr>
                <w:rFonts w:cs="Times New Roman"/>
                <w:color w:val="auto"/>
                <w:sz w:val="21"/>
                <w:lang w:bidi="zh-CN"/>
              </w:rPr>
              <w:t>工程师</w:t>
            </w:r>
            <w:bookmarkEnd w:id="15"/>
            <w:bookmarkEnd w:id="16"/>
          </w:p>
        </w:tc>
        <w:tc>
          <w:tcPr>
            <w:tcW w:w="1811" w:type="dxa"/>
            <w:vAlign w:val="center"/>
          </w:tcPr>
          <w:p w14:paraId="259D1ADA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bookmarkStart w:id="17" w:name="_Toc397"/>
            <w:bookmarkStart w:id="18" w:name="_Toc13486"/>
            <w:r>
              <w:rPr>
                <w:rFonts w:cs="Times New Roman"/>
                <w:color w:val="auto"/>
                <w:sz w:val="21"/>
                <w:lang w:bidi="zh-CN"/>
              </w:rPr>
              <w:t>统筹协调</w:t>
            </w:r>
            <w:bookmarkEnd w:id="17"/>
            <w:bookmarkEnd w:id="18"/>
          </w:p>
        </w:tc>
        <w:tc>
          <w:tcPr>
            <w:tcW w:w="851" w:type="dxa"/>
            <w:vMerge w:val="restart"/>
            <w:vAlign w:val="center"/>
          </w:tcPr>
          <w:p w14:paraId="171BE32E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bookmarkStart w:id="19" w:name="_Hlk48117060"/>
            <w:r>
              <w:rPr>
                <w:rFonts w:cs="Times New Roman"/>
                <w:color w:val="auto"/>
                <w:sz w:val="21"/>
                <w:lang w:bidi="zh-CN"/>
              </w:rPr>
              <w:t>河南省岩石矿物测试中心</w:t>
            </w:r>
            <w:bookmarkEnd w:id="19"/>
          </w:p>
        </w:tc>
        <w:tc>
          <w:tcPr>
            <w:tcW w:w="1701" w:type="dxa"/>
            <w:noWrap/>
            <w:vAlign w:val="center"/>
          </w:tcPr>
          <w:p w14:paraId="23E72837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cs="Times New Roman"/>
              </w:rPr>
              <w:drawing>
                <wp:inline distT="0" distB="0" distL="0" distR="0">
                  <wp:extent cx="735965" cy="259080"/>
                  <wp:effectExtent l="0" t="0" r="6985" b="7620"/>
                  <wp:docPr id="18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091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auto"/>
                <w:sz w:val="21"/>
                <w:lang w:bidi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301625</wp:posOffset>
                  </wp:positionV>
                  <wp:extent cx="722630" cy="339090"/>
                  <wp:effectExtent l="0" t="0" r="0" b="3175"/>
                  <wp:wrapNone/>
                  <wp:docPr id="5" name="图片 5" descr="f999ef85b3fdd11e90bb2ce16b00f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999ef85b3fdd11e90bb2ce16b00fd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33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075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vMerge w:val="restart"/>
            <w:noWrap/>
            <w:vAlign w:val="center"/>
          </w:tcPr>
          <w:p w14:paraId="4124110B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bookmarkStart w:id="20" w:name="_Toc14589"/>
            <w:bookmarkStart w:id="21" w:name="_Toc25056"/>
            <w:r>
              <w:rPr>
                <w:rFonts w:cs="Times New Roman"/>
                <w:color w:val="auto"/>
                <w:sz w:val="21"/>
                <w:lang w:bidi="zh-CN"/>
              </w:rPr>
              <w:t>方案编制</w:t>
            </w:r>
            <w:bookmarkEnd w:id="20"/>
            <w:bookmarkEnd w:id="21"/>
          </w:p>
        </w:tc>
        <w:tc>
          <w:tcPr>
            <w:tcW w:w="1286" w:type="dxa"/>
            <w:noWrap/>
            <w:vAlign w:val="center"/>
          </w:tcPr>
          <w:p w14:paraId="1FAEAB57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hint="eastAsia" w:cs="Times New Roman"/>
                <w:color w:val="auto"/>
                <w:sz w:val="21"/>
                <w:lang w:bidi="zh-CN"/>
              </w:rPr>
              <w:t>李玥然</w:t>
            </w:r>
          </w:p>
        </w:tc>
        <w:tc>
          <w:tcPr>
            <w:tcW w:w="1340" w:type="dxa"/>
            <w:noWrap/>
            <w:vAlign w:val="center"/>
          </w:tcPr>
          <w:p w14:paraId="0AEFE201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hint="eastAsia" w:cs="Times New Roman"/>
                <w:color w:val="auto"/>
                <w:sz w:val="21"/>
                <w:lang w:bidi="zh-CN"/>
              </w:rPr>
              <w:t>/</w:t>
            </w:r>
          </w:p>
        </w:tc>
        <w:tc>
          <w:tcPr>
            <w:tcW w:w="1811" w:type="dxa"/>
            <w:vAlign w:val="center"/>
          </w:tcPr>
          <w:p w14:paraId="2FBDF916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cs="Times New Roman"/>
                <w:color w:val="auto"/>
                <w:sz w:val="21"/>
                <w:lang w:bidi="zh-CN"/>
              </w:rPr>
              <w:t>第一、二章</w:t>
            </w:r>
          </w:p>
        </w:tc>
        <w:tc>
          <w:tcPr>
            <w:tcW w:w="851" w:type="dxa"/>
            <w:vMerge w:val="continue"/>
            <w:vAlign w:val="center"/>
          </w:tcPr>
          <w:p w14:paraId="260987BA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</w:p>
        </w:tc>
        <w:tc>
          <w:tcPr>
            <w:tcW w:w="1701" w:type="dxa"/>
            <w:noWrap/>
            <w:vAlign w:val="center"/>
          </w:tcPr>
          <w:p w14:paraId="56A8B007">
            <w:pPr>
              <w:ind w:firstLine="0" w:firstLineChars="0"/>
              <w:jc w:val="center"/>
              <w:rPr>
                <w:rFonts w:cs="Times New Roman"/>
                <w:b/>
                <w:bCs/>
                <w:color w:val="auto"/>
                <w:sz w:val="21"/>
                <w:lang w:bidi="zh-CN"/>
              </w:rPr>
            </w:pPr>
          </w:p>
        </w:tc>
      </w:tr>
      <w:tr w14:paraId="70B3B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96" w:type="dxa"/>
            <w:vMerge w:val="continue"/>
            <w:noWrap/>
            <w:vAlign w:val="center"/>
          </w:tcPr>
          <w:p w14:paraId="65DEC60E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</w:p>
        </w:tc>
        <w:tc>
          <w:tcPr>
            <w:tcW w:w="1286" w:type="dxa"/>
            <w:noWrap/>
            <w:vAlign w:val="center"/>
          </w:tcPr>
          <w:p w14:paraId="2E60E280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cs="Times New Roman"/>
                <w:color w:val="auto"/>
                <w:sz w:val="21"/>
                <w:lang w:bidi="zh-CN"/>
              </w:rPr>
              <w:t>王旭萍</w:t>
            </w:r>
          </w:p>
        </w:tc>
        <w:tc>
          <w:tcPr>
            <w:tcW w:w="1340" w:type="dxa"/>
            <w:noWrap/>
            <w:vAlign w:val="center"/>
          </w:tcPr>
          <w:p w14:paraId="55DE130D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cs="Times New Roman"/>
                <w:color w:val="auto"/>
                <w:sz w:val="21"/>
                <w:lang w:bidi="zh-CN"/>
              </w:rPr>
              <w:t>助理工程师</w:t>
            </w:r>
          </w:p>
        </w:tc>
        <w:tc>
          <w:tcPr>
            <w:tcW w:w="1811" w:type="dxa"/>
            <w:vAlign w:val="center"/>
          </w:tcPr>
          <w:p w14:paraId="438DCFA9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cs="Times New Roman"/>
                <w:color w:val="auto"/>
                <w:sz w:val="21"/>
                <w:lang w:bidi="zh-CN"/>
              </w:rPr>
              <w:t>第三章、附件</w:t>
            </w:r>
          </w:p>
        </w:tc>
        <w:tc>
          <w:tcPr>
            <w:tcW w:w="851" w:type="dxa"/>
            <w:vMerge w:val="continue"/>
            <w:vAlign w:val="center"/>
          </w:tcPr>
          <w:p w14:paraId="32645C7D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</w:p>
        </w:tc>
        <w:tc>
          <w:tcPr>
            <w:tcW w:w="1701" w:type="dxa"/>
            <w:noWrap/>
            <w:vAlign w:val="center"/>
          </w:tcPr>
          <w:p w14:paraId="4F3CF5EF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cs="Times New Roman"/>
                <w:color w:val="auto"/>
                <w:sz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14605</wp:posOffset>
                  </wp:positionV>
                  <wp:extent cx="425450" cy="272415"/>
                  <wp:effectExtent l="0" t="0" r="12700" b="13335"/>
                  <wp:wrapNone/>
                  <wp:docPr id="772" name="图片 3" descr="a25c006145ea9db01e95645d03c1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图片 3" descr="a25c006145ea9db01e95645d03c198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DB7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vMerge w:val="continue"/>
            <w:noWrap/>
            <w:vAlign w:val="center"/>
          </w:tcPr>
          <w:p w14:paraId="39DE52A2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</w:p>
        </w:tc>
        <w:tc>
          <w:tcPr>
            <w:tcW w:w="1286" w:type="dxa"/>
            <w:noWrap/>
            <w:vAlign w:val="center"/>
          </w:tcPr>
          <w:p w14:paraId="2114F362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cs="Times New Roman"/>
                <w:color w:val="auto"/>
                <w:sz w:val="21"/>
                <w:lang w:bidi="zh-CN"/>
              </w:rPr>
              <w:t>谷兆萍</w:t>
            </w:r>
          </w:p>
        </w:tc>
        <w:tc>
          <w:tcPr>
            <w:tcW w:w="1340" w:type="dxa"/>
            <w:noWrap/>
            <w:vAlign w:val="center"/>
          </w:tcPr>
          <w:p w14:paraId="3BC9CAF9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cs="Times New Roman"/>
                <w:color w:val="auto"/>
                <w:sz w:val="21"/>
                <w:lang w:bidi="zh-CN"/>
              </w:rPr>
              <w:t>高级工程师</w:t>
            </w:r>
          </w:p>
        </w:tc>
        <w:tc>
          <w:tcPr>
            <w:tcW w:w="1811" w:type="dxa"/>
            <w:vAlign w:val="center"/>
          </w:tcPr>
          <w:p w14:paraId="477C7A2A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cs="Times New Roman"/>
                <w:color w:val="auto"/>
                <w:sz w:val="21"/>
                <w:lang w:bidi="zh-CN"/>
              </w:rPr>
              <w:t>第四、五章</w:t>
            </w:r>
          </w:p>
        </w:tc>
        <w:tc>
          <w:tcPr>
            <w:tcW w:w="851" w:type="dxa"/>
            <w:vMerge w:val="continue"/>
            <w:vAlign w:val="center"/>
          </w:tcPr>
          <w:p w14:paraId="0D677095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</w:p>
        </w:tc>
        <w:tc>
          <w:tcPr>
            <w:tcW w:w="1701" w:type="dxa"/>
            <w:noWrap/>
            <w:vAlign w:val="center"/>
          </w:tcPr>
          <w:p w14:paraId="5456B701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cs="Times New Roman"/>
                <w:sz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16510</wp:posOffset>
                  </wp:positionV>
                  <wp:extent cx="450850" cy="222885"/>
                  <wp:effectExtent l="0" t="0" r="6350" b="5715"/>
                  <wp:wrapNone/>
                  <wp:docPr id="773" name="图片 773" descr="a600e1ad7779fd9e46e37675d9c5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图片 773" descr="a600e1ad7779fd9e46e37675d9c565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b="31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707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vMerge w:val="continue"/>
            <w:noWrap/>
            <w:vAlign w:val="center"/>
          </w:tcPr>
          <w:p w14:paraId="24E9D573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</w:p>
        </w:tc>
        <w:tc>
          <w:tcPr>
            <w:tcW w:w="1286" w:type="dxa"/>
            <w:noWrap/>
            <w:vAlign w:val="center"/>
          </w:tcPr>
          <w:p w14:paraId="39AE6802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cs="Times New Roman"/>
                <w:color w:val="auto"/>
                <w:sz w:val="21"/>
                <w:lang w:bidi="zh-CN"/>
              </w:rPr>
              <w:t>李仪</w:t>
            </w:r>
          </w:p>
        </w:tc>
        <w:tc>
          <w:tcPr>
            <w:tcW w:w="1340" w:type="dxa"/>
            <w:noWrap/>
            <w:vAlign w:val="center"/>
          </w:tcPr>
          <w:p w14:paraId="72D8D649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cs="Times New Roman"/>
                <w:color w:val="auto"/>
                <w:sz w:val="21"/>
                <w:lang w:bidi="zh-CN"/>
              </w:rPr>
              <w:t>助理工程师</w:t>
            </w:r>
          </w:p>
        </w:tc>
        <w:tc>
          <w:tcPr>
            <w:tcW w:w="1811" w:type="dxa"/>
            <w:vAlign w:val="center"/>
          </w:tcPr>
          <w:p w14:paraId="03A1AC41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cs="Times New Roman"/>
                <w:color w:val="auto"/>
                <w:sz w:val="21"/>
                <w:lang w:bidi="zh-CN"/>
              </w:rPr>
              <w:t>第六、七章</w:t>
            </w:r>
          </w:p>
        </w:tc>
        <w:tc>
          <w:tcPr>
            <w:tcW w:w="851" w:type="dxa"/>
            <w:vMerge w:val="continue"/>
            <w:vAlign w:val="center"/>
          </w:tcPr>
          <w:p w14:paraId="6C59E54B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</w:p>
        </w:tc>
        <w:tc>
          <w:tcPr>
            <w:tcW w:w="1701" w:type="dxa"/>
            <w:noWrap/>
            <w:vAlign w:val="center"/>
          </w:tcPr>
          <w:p w14:paraId="4FBE6A7A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cs="Times New Roman"/>
                <w:color w:val="auto"/>
                <w:sz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12700</wp:posOffset>
                  </wp:positionV>
                  <wp:extent cx="476250" cy="263525"/>
                  <wp:effectExtent l="0" t="0" r="0" b="3175"/>
                  <wp:wrapNone/>
                  <wp:docPr id="774" name="图片 4" descr="62a861dfd259023b3b89d77a07c8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图片 4" descr="62a861dfd259023b3b89d77a07c83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FDE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vMerge w:val="restart"/>
            <w:noWrap/>
            <w:vAlign w:val="center"/>
          </w:tcPr>
          <w:p w14:paraId="5C22FFB4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bookmarkStart w:id="22" w:name="_Toc1142"/>
            <w:bookmarkStart w:id="23" w:name="_Toc3139"/>
            <w:r>
              <w:rPr>
                <w:rFonts w:cs="Times New Roman"/>
                <w:color w:val="auto"/>
                <w:sz w:val="21"/>
                <w:lang w:bidi="zh-CN"/>
              </w:rPr>
              <w:t>报告审核</w:t>
            </w:r>
            <w:bookmarkEnd w:id="22"/>
            <w:bookmarkEnd w:id="23"/>
          </w:p>
        </w:tc>
        <w:tc>
          <w:tcPr>
            <w:tcW w:w="1286" w:type="dxa"/>
            <w:noWrap/>
            <w:vAlign w:val="center"/>
          </w:tcPr>
          <w:p w14:paraId="45B874E2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cs="Times New Roman"/>
                <w:color w:val="auto"/>
                <w:sz w:val="21"/>
                <w:lang w:bidi="zh-CN"/>
              </w:rPr>
              <w:t>付志晖</w:t>
            </w:r>
          </w:p>
        </w:tc>
        <w:tc>
          <w:tcPr>
            <w:tcW w:w="1340" w:type="dxa"/>
            <w:noWrap/>
            <w:vAlign w:val="center"/>
          </w:tcPr>
          <w:p w14:paraId="5068C96F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cs="Times New Roman"/>
                <w:color w:val="auto"/>
                <w:sz w:val="21"/>
                <w:lang w:bidi="zh-CN"/>
              </w:rPr>
              <w:t>工程师</w:t>
            </w:r>
          </w:p>
        </w:tc>
        <w:tc>
          <w:tcPr>
            <w:tcW w:w="1811" w:type="dxa"/>
            <w:vAlign w:val="center"/>
          </w:tcPr>
          <w:p w14:paraId="5F047E2A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cs="Times New Roman"/>
                <w:color w:val="auto"/>
                <w:sz w:val="21"/>
                <w:lang w:bidi="zh-CN"/>
              </w:rPr>
              <w:t>一级审查</w:t>
            </w:r>
          </w:p>
        </w:tc>
        <w:tc>
          <w:tcPr>
            <w:tcW w:w="851" w:type="dxa"/>
            <w:vMerge w:val="continue"/>
            <w:vAlign w:val="center"/>
          </w:tcPr>
          <w:p w14:paraId="4A68FF1A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</w:p>
        </w:tc>
        <w:tc>
          <w:tcPr>
            <w:tcW w:w="1701" w:type="dxa"/>
            <w:noWrap/>
            <w:vAlign w:val="center"/>
          </w:tcPr>
          <w:p w14:paraId="390F6D3A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cs="Times New Roman"/>
                <w:color w:val="auto"/>
                <w:sz w:val="21"/>
              </w:rPr>
              <w:drawing>
                <wp:inline distT="0" distB="0" distL="114300" distR="114300">
                  <wp:extent cx="720090" cy="312420"/>
                  <wp:effectExtent l="0" t="0" r="0" b="12700"/>
                  <wp:docPr id="775" name="图片 1" descr="C:\Users\ADMINI~1\AppData\Local\Temp\WeChat Files\123c50aa084309bd9234ec87012d24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图片 1" descr="C:\Users\ADMINI~1\AppData\Local\Temp\WeChat Files\123c50aa084309bd9234ec87012d24a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013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vMerge w:val="continue"/>
            <w:noWrap/>
            <w:vAlign w:val="center"/>
          </w:tcPr>
          <w:p w14:paraId="2418013B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</w:p>
        </w:tc>
        <w:tc>
          <w:tcPr>
            <w:tcW w:w="1286" w:type="dxa"/>
            <w:noWrap/>
            <w:vAlign w:val="center"/>
          </w:tcPr>
          <w:p w14:paraId="47F3ECA1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cs="Times New Roman"/>
                <w:color w:val="auto"/>
                <w:sz w:val="21"/>
                <w:lang w:bidi="zh-CN"/>
              </w:rPr>
              <w:t>王振峰</w:t>
            </w:r>
          </w:p>
        </w:tc>
        <w:tc>
          <w:tcPr>
            <w:tcW w:w="1340" w:type="dxa"/>
            <w:noWrap/>
            <w:vAlign w:val="center"/>
          </w:tcPr>
          <w:p w14:paraId="73C9BF2A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cs="Times New Roman"/>
                <w:color w:val="auto"/>
                <w:sz w:val="21"/>
                <w:lang w:bidi="zh-CN"/>
              </w:rPr>
              <w:t>工程师</w:t>
            </w:r>
          </w:p>
        </w:tc>
        <w:tc>
          <w:tcPr>
            <w:tcW w:w="1811" w:type="dxa"/>
            <w:vAlign w:val="center"/>
          </w:tcPr>
          <w:p w14:paraId="1DB7B6EE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cs="Times New Roman"/>
                <w:color w:val="auto"/>
                <w:sz w:val="21"/>
                <w:lang w:bidi="zh-CN"/>
              </w:rPr>
              <w:t>二级审查</w:t>
            </w:r>
          </w:p>
        </w:tc>
        <w:tc>
          <w:tcPr>
            <w:tcW w:w="851" w:type="dxa"/>
            <w:vMerge w:val="continue"/>
            <w:vAlign w:val="center"/>
          </w:tcPr>
          <w:p w14:paraId="2BF187ED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</w:p>
        </w:tc>
        <w:tc>
          <w:tcPr>
            <w:tcW w:w="1701" w:type="dxa"/>
            <w:noWrap/>
            <w:vAlign w:val="center"/>
          </w:tcPr>
          <w:p w14:paraId="6BF8632A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</w:rPr>
            </w:pPr>
            <w:r>
              <w:rPr>
                <w:rFonts w:cs="Times New Roman"/>
                <w:sz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9525</wp:posOffset>
                  </wp:positionV>
                  <wp:extent cx="447040" cy="255270"/>
                  <wp:effectExtent l="0" t="0" r="10160" b="11430"/>
                  <wp:wrapNone/>
                  <wp:docPr id="776" name="图片 776" descr="3bbc02ee8690feb4b4354a55a2cfa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图片 776" descr="3bbc02ee8690feb4b4354a55a2cfa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40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062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vMerge w:val="continue"/>
            <w:noWrap/>
            <w:vAlign w:val="center"/>
          </w:tcPr>
          <w:p w14:paraId="513A47CE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</w:p>
        </w:tc>
        <w:tc>
          <w:tcPr>
            <w:tcW w:w="1286" w:type="dxa"/>
            <w:noWrap/>
            <w:vAlign w:val="center"/>
          </w:tcPr>
          <w:p w14:paraId="43E1888C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cs="Times New Roman"/>
                <w:color w:val="auto"/>
                <w:sz w:val="21"/>
                <w:lang w:bidi="zh-CN"/>
              </w:rPr>
              <w:t>王军</w:t>
            </w:r>
          </w:p>
        </w:tc>
        <w:tc>
          <w:tcPr>
            <w:tcW w:w="1340" w:type="dxa"/>
            <w:noWrap/>
            <w:vAlign w:val="center"/>
          </w:tcPr>
          <w:p w14:paraId="3E402D1D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bookmarkStart w:id="24" w:name="_Toc26436"/>
            <w:r>
              <w:rPr>
                <w:rFonts w:cs="Times New Roman"/>
                <w:color w:val="auto"/>
                <w:sz w:val="21"/>
                <w:lang w:bidi="zh-CN"/>
              </w:rPr>
              <w:t>高级工程师</w:t>
            </w:r>
            <w:bookmarkEnd w:id="24"/>
          </w:p>
        </w:tc>
        <w:tc>
          <w:tcPr>
            <w:tcW w:w="1811" w:type="dxa"/>
            <w:vAlign w:val="center"/>
          </w:tcPr>
          <w:p w14:paraId="3F0F8B99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  <w:r>
              <w:rPr>
                <w:rFonts w:cs="Times New Roman"/>
                <w:color w:val="auto"/>
                <w:sz w:val="21"/>
                <w:lang w:bidi="zh-CN"/>
              </w:rPr>
              <w:t>三级审查</w:t>
            </w:r>
          </w:p>
        </w:tc>
        <w:tc>
          <w:tcPr>
            <w:tcW w:w="851" w:type="dxa"/>
            <w:vMerge w:val="continue"/>
            <w:vAlign w:val="center"/>
          </w:tcPr>
          <w:p w14:paraId="526B5328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  <w:lang w:bidi="zh-CN"/>
              </w:rPr>
            </w:pPr>
          </w:p>
        </w:tc>
        <w:tc>
          <w:tcPr>
            <w:tcW w:w="1701" w:type="dxa"/>
            <w:noWrap/>
            <w:vAlign w:val="center"/>
          </w:tcPr>
          <w:p w14:paraId="7A6218EB">
            <w:pPr>
              <w:ind w:firstLine="0" w:firstLineChars="0"/>
              <w:jc w:val="center"/>
              <w:rPr>
                <w:rFonts w:cs="Times New Roman"/>
                <w:color w:val="auto"/>
                <w:sz w:val="21"/>
              </w:rPr>
            </w:pPr>
            <w:r>
              <w:rPr>
                <w:rFonts w:cs="Times New Roman"/>
                <w:color w:val="auto"/>
                <w:sz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-8255</wp:posOffset>
                  </wp:positionV>
                  <wp:extent cx="532765" cy="315595"/>
                  <wp:effectExtent l="0" t="0" r="635" b="7620"/>
                  <wp:wrapNone/>
                  <wp:docPr id="777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FB3E42">
      <w:pPr>
        <w:snapToGrid/>
        <w:spacing w:before="100" w:after="100"/>
        <w:ind w:firstLine="980" w:firstLineChars="350"/>
        <w:rPr>
          <w:rFonts w:cs="Times New Roman"/>
          <w:sz w:val="28"/>
          <w:szCs w:val="28"/>
        </w:rPr>
      </w:pPr>
    </w:p>
    <w:p w14:paraId="1D902579">
      <w:pPr>
        <w:snapToGrid/>
        <w:spacing w:before="100" w:after="100"/>
        <w:ind w:firstLine="980" w:firstLineChars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资质证书编号（CMA）：231612040034</w:t>
      </w:r>
    </w:p>
    <w:p w14:paraId="3DFA4EFA">
      <w:pPr>
        <w:snapToGrid/>
        <w:spacing w:before="100" w:after="100"/>
        <w:ind w:firstLine="980" w:firstLineChars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发证单位：河南省质量技术监督局</w:t>
      </w:r>
    </w:p>
    <w:p w14:paraId="46B49341">
      <w:pPr>
        <w:snapToGrid/>
        <w:spacing w:before="100" w:after="100"/>
        <w:ind w:firstLine="980" w:firstLineChars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报告编制单位：河南省岩石矿物测试中心</w:t>
      </w:r>
    </w:p>
    <w:p w14:paraId="1881F491">
      <w:pPr>
        <w:snapToGrid/>
        <w:spacing w:before="100" w:after="100"/>
        <w:ind w:firstLine="980" w:firstLineChars="3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报告编制日期：二〇二四年七月</w:t>
      </w:r>
    </w:p>
    <w:p w14:paraId="4C900AE2"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5AD40D55">
      <w:pPr>
        <w:ind w:firstLine="0" w:firstLineChars="0"/>
        <w:jc w:val="center"/>
        <w:rPr>
          <w:rFonts w:eastAsia="黑体" w:cs="Times New Roman"/>
          <w:b/>
          <w:bCs/>
          <w:spacing w:val="-1"/>
          <w:sz w:val="31"/>
          <w:szCs w:val="31"/>
        </w:rPr>
      </w:pPr>
      <w:r>
        <w:rPr>
          <w:rFonts w:eastAsia="黑体" w:cs="Times New Roman"/>
          <w:b/>
          <w:bCs/>
          <w:spacing w:val="-1"/>
          <w:sz w:val="31"/>
          <w:szCs w:val="31"/>
        </w:rPr>
        <w:t>济源国泰西子河畔地块土壤污染状况调查报告</w:t>
      </w:r>
    </w:p>
    <w:p w14:paraId="14106ED1">
      <w:pPr>
        <w:ind w:firstLine="0" w:firstLineChars="0"/>
        <w:jc w:val="center"/>
        <w:rPr>
          <w:rFonts w:eastAsia="黑体" w:cs="Times New Roman"/>
          <w:b/>
          <w:bCs/>
          <w:spacing w:val="-1"/>
          <w:sz w:val="31"/>
          <w:szCs w:val="31"/>
        </w:rPr>
      </w:pPr>
      <w:r>
        <w:rPr>
          <w:rFonts w:eastAsia="黑体" w:cs="Times New Roman"/>
          <w:b/>
          <w:bCs/>
          <w:spacing w:val="-1"/>
          <w:sz w:val="31"/>
          <w:szCs w:val="31"/>
        </w:rPr>
        <w:t>内容摘要</w:t>
      </w:r>
    </w:p>
    <w:p w14:paraId="557801D8">
      <w:pPr>
        <w:ind w:firstLine="464"/>
        <w:jc w:val="left"/>
        <w:rPr>
          <w:rFonts w:cs="Times New Roman"/>
          <w:spacing w:val="-2"/>
          <w:szCs w:val="24"/>
        </w:rPr>
      </w:pPr>
      <w:r>
        <w:rPr>
          <w:rFonts w:cs="Times New Roman"/>
          <w:spacing w:val="-4"/>
          <w:szCs w:val="24"/>
        </w:rPr>
        <w:t>济源国泰西子河畔地块位于</w:t>
      </w:r>
      <w:r>
        <w:rPr>
          <w:rFonts w:cs="Times New Roman"/>
          <w:szCs w:val="24"/>
        </w:rPr>
        <w:t>天坛路与</w:t>
      </w:r>
      <w:r>
        <w:rPr>
          <w:rFonts w:hint="eastAsia" w:cs="Times New Roman"/>
          <w:szCs w:val="24"/>
        </w:rPr>
        <w:t>湨河南街</w:t>
      </w:r>
      <w:r>
        <w:rPr>
          <w:rFonts w:cs="Times New Roman"/>
          <w:szCs w:val="24"/>
        </w:rPr>
        <w:t>交叉口西南角</w:t>
      </w:r>
      <w:r>
        <w:rPr>
          <w:rFonts w:cs="Times New Roman"/>
          <w:spacing w:val="-4"/>
          <w:szCs w:val="24"/>
        </w:rPr>
        <w:t>，地块面积20299.68m</w:t>
      </w:r>
      <w:r>
        <w:rPr>
          <w:rFonts w:cs="Times New Roman"/>
          <w:spacing w:val="-4"/>
          <w:szCs w:val="24"/>
          <w:vertAlign w:val="superscript"/>
        </w:rPr>
        <w:t>2</w:t>
      </w:r>
      <w:r>
        <w:rPr>
          <w:rFonts w:cs="Times New Roman"/>
          <w:spacing w:val="-4"/>
          <w:szCs w:val="24"/>
        </w:rPr>
        <w:t>，原为</w:t>
      </w:r>
      <w:r>
        <w:rPr>
          <w:rFonts w:cs="Times New Roman"/>
          <w:spacing w:val="-2"/>
          <w:szCs w:val="24"/>
        </w:rPr>
        <w:t>工业用地，现规划为居住用地。根据《中华人民共和国土壤污染防治法》（2019.1.1）第四章第五十九条规定，用途变更为住宅、公共管理与公共服务用地的，变更前应当按照规定进行土壤污染状况调查。</w:t>
      </w:r>
    </w:p>
    <w:p w14:paraId="77EBA4F7">
      <w:pPr>
        <w:ind w:firstLine="480"/>
        <w:jc w:val="left"/>
        <w:rPr>
          <w:rFonts w:cs="Times New Roman"/>
          <w:spacing w:val="-3"/>
          <w:szCs w:val="24"/>
        </w:rPr>
      </w:pPr>
      <w:r>
        <w:rPr>
          <w:rFonts w:cs="Times New Roman"/>
          <w:szCs w:val="24"/>
        </w:rPr>
        <w:t>2024年5月，河南省岩石矿物测试中心承担了</w:t>
      </w:r>
      <w:r>
        <w:rPr>
          <w:rFonts w:cs="Times New Roman"/>
          <w:spacing w:val="-4"/>
          <w:szCs w:val="24"/>
        </w:rPr>
        <w:t>济源国泰西子河畔地块</w:t>
      </w:r>
      <w:r>
        <w:rPr>
          <w:rFonts w:cs="Times New Roman"/>
          <w:szCs w:val="24"/>
        </w:rPr>
        <w:t>土壤污染状况调查工作，我单位接到委托后委派专业技术人员对该地块进行了资料收集、现场踏勘和人员访谈等调查。根据所掌握的地块信息，识别地块可能存在的污染物</w:t>
      </w:r>
      <w:r>
        <w:rPr>
          <w:rFonts w:cs="Times New Roman"/>
          <w:color w:val="auto"/>
          <w:szCs w:val="24"/>
        </w:rPr>
        <w:t>及疑似污染区分布情</w:t>
      </w:r>
      <w:r>
        <w:rPr>
          <w:rFonts w:cs="Times New Roman"/>
          <w:szCs w:val="24"/>
        </w:rPr>
        <w:t>况，</w:t>
      </w:r>
      <w:r>
        <w:rPr>
          <w:rFonts w:cs="Times New Roman"/>
        </w:rPr>
        <w:t>对调查地块的土壤和地下水进行了初步调查工作，</w:t>
      </w:r>
      <w:r>
        <w:rPr>
          <w:rFonts w:cs="Times New Roman"/>
          <w:spacing w:val="-3"/>
          <w:szCs w:val="24"/>
        </w:rPr>
        <w:t>编制济源国泰西子河畔地块土壤污染状况调查报告。</w:t>
      </w:r>
    </w:p>
    <w:p w14:paraId="26248E58">
      <w:pPr>
        <w:ind w:firstLine="48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本次勘查期间该地块地下水水位埋深6.10m～6.45m，属第四系潜水。地下水的补给主要为大气降水和湨河水补给，以蒸发和人工开采排泄为主，其动态变化主要受季节性降水的影响。根据测量水位绘制的地下水等水位线图显示，该地块地下水流向为自西向东。</w:t>
      </w:r>
    </w:p>
    <w:p w14:paraId="63758E1F">
      <w:pPr>
        <w:ind w:firstLine="48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本次调查地块内共布设16个土壤采样点，地下水共布设5个监测井，其中上游对照点为已有监测井，另外4个监测井均为新建井。根据该地块所处区域的水文地质条件，本次土壤采样深度最深为10m，地下水监测井建井最深为20m。</w:t>
      </w:r>
      <w:r>
        <w:rPr>
          <w:rFonts w:cs="Times New Roman"/>
          <w:spacing w:val="-6"/>
          <w:szCs w:val="24"/>
        </w:rPr>
        <w:t>由于该地块周边1km范围内主要为企业、居民区等，无未被扰动土壤，因此土壤未布设对照点。</w:t>
      </w:r>
    </w:p>
    <w:p w14:paraId="2FDA3865">
      <w:pPr>
        <w:ind w:firstLine="48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本次场地调查土壤样品分析项目为《土壤环境质量建设用地土壤污染风险管控标准（试行）》（GB36600-2018）表1中45项基本项，加测项目为pH、石油烃（C</w:t>
      </w:r>
      <w:r>
        <w:rPr>
          <w:rFonts w:cs="Times New Roman"/>
          <w:szCs w:val="24"/>
          <w:vertAlign w:val="subscript"/>
        </w:rPr>
        <w:t>10</w:t>
      </w:r>
      <w:r>
        <w:rPr>
          <w:rFonts w:cs="Times New Roman"/>
          <w:szCs w:val="24"/>
        </w:rPr>
        <w:t>-C</w:t>
      </w:r>
      <w:r>
        <w:rPr>
          <w:rFonts w:cs="Times New Roman"/>
          <w:szCs w:val="24"/>
          <w:vertAlign w:val="subscript"/>
        </w:rPr>
        <w:t>40</w:t>
      </w:r>
      <w:r>
        <w:rPr>
          <w:rFonts w:cs="Times New Roman"/>
          <w:szCs w:val="24"/>
        </w:rPr>
        <w:t>)、氟化物、锑等，共计49项。地下水样品分析项目为《地下水质量标准》（GB/T14848-2017）表1中35项+</w:t>
      </w:r>
      <w:r>
        <w:rPr>
          <w:rFonts w:cs="Times New Roman"/>
          <w:bCs/>
        </w:rPr>
        <w:t>石油烃（C</w:t>
      </w:r>
      <w:r>
        <w:rPr>
          <w:rFonts w:cs="Times New Roman"/>
          <w:bCs/>
          <w:vertAlign w:val="subscript"/>
        </w:rPr>
        <w:t>10</w:t>
      </w:r>
      <w:r>
        <w:rPr>
          <w:rFonts w:cs="Times New Roman"/>
          <w:bCs/>
        </w:rPr>
        <w:t>-C</w:t>
      </w:r>
      <w:r>
        <w:rPr>
          <w:rFonts w:cs="Times New Roman"/>
          <w:bCs/>
          <w:vertAlign w:val="subscript"/>
        </w:rPr>
        <w:t>40</w:t>
      </w:r>
      <w:r>
        <w:rPr>
          <w:rFonts w:cs="Times New Roman"/>
          <w:bCs/>
        </w:rPr>
        <w:t>)、间二甲苯+对二甲苯、镍、锑</w:t>
      </w:r>
      <w:r>
        <w:rPr>
          <w:rFonts w:cs="Times New Roman"/>
          <w:szCs w:val="24"/>
        </w:rPr>
        <w:t>，共计39项。</w:t>
      </w:r>
    </w:p>
    <w:p w14:paraId="61B23B34">
      <w:pPr>
        <w:ind w:firstLine="48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本次初次调查共采集土壤样品数量为7</w:t>
      </w:r>
      <w:r>
        <w:rPr>
          <w:rFonts w:hint="eastAsia" w:cs="Times New Roman"/>
          <w:szCs w:val="24"/>
        </w:rPr>
        <w:t>5</w:t>
      </w:r>
      <w:r>
        <w:rPr>
          <w:rFonts w:cs="Times New Roman"/>
          <w:szCs w:val="24"/>
        </w:rPr>
        <w:t>个（包含7个平行样），地下水样品数量</w:t>
      </w:r>
      <w:r>
        <w:rPr>
          <w:rFonts w:hint="eastAsia" w:cs="Times New Roman"/>
          <w:szCs w:val="24"/>
        </w:rPr>
        <w:t>7</w:t>
      </w:r>
      <w:r>
        <w:rPr>
          <w:rFonts w:cs="Times New Roman"/>
          <w:szCs w:val="24"/>
        </w:rPr>
        <w:t>个</w:t>
      </w:r>
      <w:r>
        <w:rPr>
          <w:rFonts w:hint="eastAsia" w:cs="Times New Roman"/>
          <w:szCs w:val="24"/>
        </w:rPr>
        <w:t>（包含1个平行样）</w:t>
      </w:r>
      <w:r>
        <w:rPr>
          <w:rFonts w:cs="Times New Roman"/>
          <w:szCs w:val="24"/>
          <w:lang w:val="zh-CN"/>
        </w:rPr>
        <w:t>，</w:t>
      </w:r>
      <w:r>
        <w:rPr>
          <w:rFonts w:cs="Times New Roman"/>
          <w:szCs w:val="24"/>
        </w:rPr>
        <w:t>达到预期设定平行质量控制比例大于10%目标。现场平行样检测质控、实验室内部检测质控（实验空白、空白加标回收、实验室平行样、替代物加标回收样等）均在设定的质量控制范围之内，土壤、地下水样品检测数据有效。</w:t>
      </w:r>
    </w:p>
    <w:p w14:paraId="0D9622CB">
      <w:pPr>
        <w:autoSpaceDE w:val="0"/>
        <w:autoSpaceDN w:val="0"/>
        <w:ind w:firstLine="480"/>
        <w:rPr>
          <w:rFonts w:cs="Times New Roman"/>
        </w:rPr>
      </w:pPr>
      <w:r>
        <w:rPr>
          <w:rFonts w:cs="Times New Roman"/>
          <w:szCs w:val="24"/>
        </w:rPr>
        <w:t>调查结果表明，</w:t>
      </w:r>
      <w:r>
        <w:rPr>
          <w:rFonts w:cs="Times New Roman"/>
          <w:spacing w:val="-5"/>
          <w:szCs w:val="24"/>
        </w:rPr>
        <w:t>5口地下水井检测指标均满足《地</w:t>
      </w:r>
      <w:r>
        <w:rPr>
          <w:rFonts w:cs="Times New Roman"/>
          <w:spacing w:val="-1"/>
          <w:szCs w:val="24"/>
        </w:rPr>
        <w:t>下水质量标准（GB/T14848-2017）》中</w:t>
      </w:r>
      <w:r>
        <w:rPr>
          <w:rFonts w:cs="Times New Roman"/>
          <w:spacing w:val="-1"/>
        </w:rPr>
        <w:t>Ⅳ</w:t>
      </w:r>
      <w:r>
        <w:rPr>
          <w:rFonts w:cs="Times New Roman"/>
          <w:spacing w:val="-1"/>
          <w:szCs w:val="24"/>
        </w:rPr>
        <w:t>类质量标准，</w:t>
      </w:r>
      <w:r>
        <w:rPr>
          <w:rFonts w:cs="Times New Roman"/>
        </w:rPr>
        <w:t>部分指标超地下水Ⅲ类限值。</w:t>
      </w:r>
      <w:r>
        <w:rPr>
          <w:rFonts w:cs="Times New Roman"/>
          <w:spacing w:val="-3"/>
        </w:rPr>
        <w:t>地块内监测井地下水超Ⅲ类指标有</w:t>
      </w:r>
      <w:r>
        <w:rPr>
          <w:rFonts w:cs="Times New Roman"/>
        </w:rPr>
        <w:t>2</w:t>
      </w:r>
      <w:r>
        <w:rPr>
          <w:rFonts w:cs="Times New Roman"/>
          <w:spacing w:val="-1"/>
        </w:rPr>
        <w:t>个，分别是：总硬度</w:t>
      </w:r>
      <w:r>
        <w:rPr>
          <w:rFonts w:cs="Times New Roman"/>
          <w:spacing w:val="-20"/>
        </w:rPr>
        <w:t>和浊度。</w:t>
      </w:r>
      <w:r>
        <w:rPr>
          <w:rFonts w:cs="Times New Roman"/>
        </w:rPr>
        <w:t>按照地下水综合质量评价，</w:t>
      </w:r>
      <w:r>
        <w:rPr>
          <w:rFonts w:cs="Times New Roman"/>
          <w:spacing w:val="-1"/>
        </w:rPr>
        <w:t>地下水质量综合评价类别为Ⅳ类</w:t>
      </w:r>
      <w:r>
        <w:rPr>
          <w:rFonts w:cs="Times New Roman"/>
        </w:rPr>
        <w:t>。</w:t>
      </w:r>
    </w:p>
    <w:p w14:paraId="53C1849C">
      <w:pPr>
        <w:ind w:firstLine="480"/>
        <w:jc w:val="left"/>
        <w:rPr>
          <w:rFonts w:cs="Times New Roman"/>
        </w:rPr>
      </w:pPr>
      <w:r>
        <w:rPr>
          <w:rFonts w:cs="Times New Roman"/>
          <w:szCs w:val="24"/>
        </w:rPr>
        <w:t>初步调查表明，调查地块内土壤各项检测指标正常，不属于污染地块，无需开展后续详细调查和风险评估。</w:t>
      </w:r>
    </w:p>
    <w:p w14:paraId="75FC5771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2578071"/>
      <w:docPartObj>
        <w:docPartGallery w:val="autotext"/>
      </w:docPartObj>
    </w:sdtPr>
    <w:sdtContent>
      <w:p w14:paraId="5F5D2010">
        <w:pPr>
          <w:pStyle w:val="11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D69513E"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8323C">
    <w:pPr>
      <w:pStyle w:val="12"/>
      <w:pBdr>
        <w:bottom w:val="none" w:color="auto" w:sz="0" w:space="1"/>
      </w:pBdr>
      <w:tabs>
        <w:tab w:val="left" w:pos="4064"/>
      </w:tabs>
      <w:ind w:firstLine="360"/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EA9BC"/>
    <w:multiLevelType w:val="multilevel"/>
    <w:tmpl w:val="8A1EA9BC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15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suff w:val="space"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."/>
      <w:lvlJc w:val="left"/>
      <w:pPr>
        <w:tabs>
          <w:tab w:val="left" w:pos="0"/>
        </w:tabs>
        <w:ind w:left="3504" w:hanging="864"/>
      </w:pPr>
      <w:rPr>
        <w:rFonts w:hint="eastAsia"/>
      </w:rPr>
    </w:lvl>
    <w:lvl w:ilvl="4" w:tentative="0">
      <w:start w:val="1"/>
      <w:numFmt w:val="decimal"/>
      <w:lvlRestart w:val="2"/>
      <w:isLgl/>
      <w:lvlText w:val="%1.%2.%3.%4.%5."/>
      <w:lvlJc w:val="left"/>
      <w:pPr>
        <w:tabs>
          <w:tab w:val="left" w:pos="420"/>
        </w:tabs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1D55DB7C"/>
    <w:multiLevelType w:val="multilevel"/>
    <w:tmpl w:val="1D55DB7C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15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."/>
      <w:lvlJc w:val="left"/>
      <w:pPr>
        <w:tabs>
          <w:tab w:val="left" w:pos="0"/>
        </w:tabs>
        <w:ind w:left="3504" w:hanging="864"/>
      </w:pPr>
      <w:rPr>
        <w:rFonts w:hint="eastAsia"/>
      </w:rPr>
    </w:lvl>
    <w:lvl w:ilvl="4" w:tentative="0">
      <w:start w:val="1"/>
      <w:numFmt w:val="decimal"/>
      <w:lvlRestart w:val="2"/>
      <w:isLgl/>
      <w:lvlText w:val="%1.%2.%3.%4.%5."/>
      <w:lvlJc w:val="left"/>
      <w:pPr>
        <w:tabs>
          <w:tab w:val="left" w:pos="420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YjZjYjJlMGQzNzRhYTRmZWViMzhmZGM3ZjBjNDkifQ=="/>
  </w:docVars>
  <w:rsids>
    <w:rsidRoot w:val="3A5078B9"/>
    <w:rsid w:val="001925D9"/>
    <w:rsid w:val="02276774"/>
    <w:rsid w:val="024D6241"/>
    <w:rsid w:val="085911F2"/>
    <w:rsid w:val="09412E0E"/>
    <w:rsid w:val="0E800B27"/>
    <w:rsid w:val="0ED64126"/>
    <w:rsid w:val="0FBF0F49"/>
    <w:rsid w:val="10180BAE"/>
    <w:rsid w:val="10C706E7"/>
    <w:rsid w:val="11EA0565"/>
    <w:rsid w:val="168C3F5F"/>
    <w:rsid w:val="17296A9D"/>
    <w:rsid w:val="1C3F7D40"/>
    <w:rsid w:val="1CFF6D16"/>
    <w:rsid w:val="20437514"/>
    <w:rsid w:val="221916C4"/>
    <w:rsid w:val="242B61FE"/>
    <w:rsid w:val="259B382D"/>
    <w:rsid w:val="25EB17CF"/>
    <w:rsid w:val="278C117A"/>
    <w:rsid w:val="282136AA"/>
    <w:rsid w:val="286B2CA4"/>
    <w:rsid w:val="2A157A4C"/>
    <w:rsid w:val="2AAB0E06"/>
    <w:rsid w:val="2AC1385C"/>
    <w:rsid w:val="2F8E7D53"/>
    <w:rsid w:val="3136355C"/>
    <w:rsid w:val="332A315C"/>
    <w:rsid w:val="334F59A1"/>
    <w:rsid w:val="35624A1A"/>
    <w:rsid w:val="356A0331"/>
    <w:rsid w:val="37C8740A"/>
    <w:rsid w:val="39B06F76"/>
    <w:rsid w:val="3A5078B9"/>
    <w:rsid w:val="3A65563B"/>
    <w:rsid w:val="3AAD1140"/>
    <w:rsid w:val="3EF84F95"/>
    <w:rsid w:val="3F626AC8"/>
    <w:rsid w:val="43A37CD0"/>
    <w:rsid w:val="441601C2"/>
    <w:rsid w:val="451924DA"/>
    <w:rsid w:val="52E71D97"/>
    <w:rsid w:val="532C6314"/>
    <w:rsid w:val="56116B96"/>
    <w:rsid w:val="58E81250"/>
    <w:rsid w:val="60406662"/>
    <w:rsid w:val="60851757"/>
    <w:rsid w:val="65E55114"/>
    <w:rsid w:val="6685254A"/>
    <w:rsid w:val="677D0006"/>
    <w:rsid w:val="691334CE"/>
    <w:rsid w:val="6A667D1B"/>
    <w:rsid w:val="6B317D3A"/>
    <w:rsid w:val="6C2C1F64"/>
    <w:rsid w:val="740A6D83"/>
    <w:rsid w:val="744D7838"/>
    <w:rsid w:val="7828103F"/>
    <w:rsid w:val="78A668CC"/>
    <w:rsid w:val="7A703BEA"/>
    <w:rsid w:val="7C581ED3"/>
    <w:rsid w:val="7E5020A2"/>
    <w:rsid w:val="7EE3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djustRightInd w:val="0"/>
      <w:snapToGrid w:val="0"/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宋体" w:cs="Arial"/>
      <w:snapToGrid w:val="0"/>
      <w:color w:val="000000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kinsoku/>
      <w:overflowPunct w:val="0"/>
      <w:ind w:firstLine="0" w:firstLineChars="0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2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keepLines/>
      <w:numPr>
        <w:ilvl w:val="1"/>
        <w:numId w:val="1"/>
      </w:numPr>
      <w:spacing w:line="360" w:lineRule="auto"/>
      <w:ind w:left="575" w:hanging="575" w:firstLineChars="0"/>
      <w:jc w:val="both"/>
      <w:outlineLvl w:val="1"/>
    </w:pPr>
    <w:rPr>
      <w:rFonts w:ascii="Cambria" w:hAnsi="Cambria" w:eastAsia="仿宋"/>
      <w:b/>
      <w:bCs/>
      <w:kern w:val="2"/>
      <w:sz w:val="30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numPr>
        <w:ilvl w:val="2"/>
        <w:numId w:val="1"/>
      </w:numPr>
      <w:spacing w:line="360" w:lineRule="auto"/>
      <w:ind w:left="720" w:hanging="720" w:firstLineChars="0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0"/>
    <w:pPr>
      <w:keepNext/>
      <w:keepLines/>
      <w:spacing w:line="360" w:lineRule="auto"/>
      <w:ind w:firstLine="0" w:firstLineChars="0"/>
      <w:outlineLvl w:val="3"/>
    </w:pPr>
    <w:rPr>
      <w:rFonts w:ascii="Times New Roman" w:hAnsi="Times New Roman" w:eastAsia="宋体" w:cstheme="minorBidi"/>
      <w:b/>
      <w:kern w:val="2"/>
      <w:sz w:val="24"/>
      <w:szCs w:val="24"/>
    </w:rPr>
  </w:style>
  <w:style w:type="paragraph" w:styleId="6">
    <w:name w:val="heading 5"/>
    <w:basedOn w:val="1"/>
    <w:next w:val="1"/>
    <w:link w:val="25"/>
    <w:semiHidden/>
    <w:unhideWhenUsed/>
    <w:qFormat/>
    <w:uiPriority w:val="0"/>
    <w:pPr>
      <w:keepNext/>
      <w:keepLines/>
      <w:tabs>
        <w:tab w:val="left" w:pos="1350"/>
      </w:tabs>
      <w:adjustRightInd w:val="0"/>
      <w:spacing w:beforeLines="0" w:afterLines="0" w:line="360" w:lineRule="auto"/>
      <w:ind w:left="0" w:firstLine="0" w:firstLineChars="0"/>
      <w:textAlignment w:val="baseline"/>
      <w:outlineLvl w:val="4"/>
    </w:pPr>
    <w:rPr>
      <w:rFonts w:ascii="Times New Roman" w:hAnsi="Times New Roman" w:eastAsia="宋体" w:cs="Times New Roman"/>
      <w:b/>
      <w:bCs/>
      <w:kern w:val="2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Lines="0" w:beforeAutospacing="0" w:afterLines="0" w:afterAutospacing="0" w:line="360" w:lineRule="auto"/>
      <w:ind w:left="0" w:firstLine="0" w:firstLineChars="0"/>
      <w:outlineLvl w:val="5"/>
    </w:pPr>
    <w:rPr>
      <w:rFonts w:ascii="Arial" w:hAnsi="Arial" w:eastAsia="宋体" w:cstheme="minorBidi"/>
      <w:b/>
      <w:kern w:val="2"/>
      <w:sz w:val="24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0"/>
    <w:pPr>
      <w:keepNext/>
      <w:keepLines/>
      <w:spacing w:line="360" w:lineRule="auto"/>
      <w:ind w:firstLine="0" w:firstLineChars="0"/>
      <w:outlineLvl w:val="6"/>
    </w:pPr>
    <w:rPr>
      <w:rFonts w:ascii="Times New Roman" w:hAnsi="Times New Roman" w:eastAsia="宋体" w:cs="黑体"/>
      <w:b/>
      <w:bCs/>
      <w:kern w:val="2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3">
    <w:name w:val="Subtitle"/>
    <w:basedOn w:val="1"/>
    <w:link w:val="23"/>
    <w:qFormat/>
    <w:uiPriority w:val="0"/>
    <w:pPr>
      <w:jc w:val="left"/>
      <w:outlineLvl w:val="3"/>
    </w:pPr>
    <w:rPr>
      <w:b/>
      <w:bCs/>
      <w:kern w:val="28"/>
      <w:szCs w:val="32"/>
    </w:rPr>
  </w:style>
  <w:style w:type="paragraph" w:styleId="14">
    <w:name w:val="List"/>
    <w:basedOn w:val="1"/>
    <w:qFormat/>
    <w:uiPriority w:val="0"/>
    <w:pPr>
      <w:kinsoku/>
      <w:overflowPunct w:val="0"/>
      <w:spacing w:line="240" w:lineRule="auto"/>
      <w:ind w:left="0" w:firstLine="0" w:firstLineChars="0"/>
      <w:jc w:val="center"/>
    </w:pPr>
    <w:rPr>
      <w:rFonts w:ascii="Arial" w:hAnsi="Arial" w:eastAsia="黑体" w:cs="Arial"/>
      <w:snapToGrid w:val="0"/>
      <w:color w:val="000000"/>
      <w:kern w:val="0"/>
      <w:szCs w:val="21"/>
    </w:rPr>
  </w:style>
  <w:style w:type="paragraph" w:styleId="15">
    <w:name w:val="toc 2"/>
    <w:basedOn w:val="1"/>
    <w:next w:val="1"/>
    <w:unhideWhenUsed/>
    <w:qFormat/>
    <w:uiPriority w:val="39"/>
    <w:pPr>
      <w:spacing w:after="100" w:line="276" w:lineRule="auto"/>
      <w:ind w:left="220"/>
    </w:pPr>
  </w:style>
  <w:style w:type="character" w:customStyle="1" w:styleId="18">
    <w:name w:val="标题 3 字符"/>
    <w:link w:val="4"/>
    <w:qFormat/>
    <w:uiPriority w:val="9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9">
    <w:name w:val="标题 2 字符"/>
    <w:link w:val="3"/>
    <w:qFormat/>
    <w:uiPriority w:val="9"/>
    <w:rPr>
      <w:rFonts w:ascii="Times New Roman" w:hAnsi="Times New Roman" w:eastAsia="仿宋" w:cs="Times New Roman"/>
      <w:b/>
      <w:kern w:val="2"/>
      <w:sz w:val="30"/>
      <w:szCs w:val="30"/>
    </w:rPr>
  </w:style>
  <w:style w:type="character" w:customStyle="1" w:styleId="20">
    <w:name w:val="标题 4 字符"/>
    <w:basedOn w:val="17"/>
    <w:link w:val="5"/>
    <w:qFormat/>
    <w:uiPriority w:val="0"/>
    <w:rPr>
      <w:rFonts w:ascii="Times New Roman" w:hAnsi="Times New Roman" w:eastAsia="宋体" w:cstheme="minorBidi"/>
      <w:b/>
      <w:kern w:val="2"/>
      <w:sz w:val="24"/>
      <w:szCs w:val="24"/>
    </w:rPr>
  </w:style>
  <w:style w:type="paragraph" w:customStyle="1" w:styleId="21">
    <w:name w:val="表格标题"/>
    <w:basedOn w:val="13"/>
    <w:link w:val="22"/>
    <w:qFormat/>
    <w:uiPriority w:val="0"/>
    <w:pPr>
      <w:spacing w:line="240" w:lineRule="auto"/>
      <w:ind w:firstLine="0" w:firstLineChars="0"/>
      <w:jc w:val="center"/>
      <w:outlineLvl w:val="9"/>
    </w:pPr>
    <w:rPr>
      <w:rFonts w:ascii="Times New Roman" w:hAnsi="Times New Roman" w:eastAsia="黑体" w:cs="黑体"/>
      <w:b w:val="0"/>
      <w:color w:val="000000"/>
      <w:sz w:val="21"/>
      <w:szCs w:val="32"/>
    </w:rPr>
  </w:style>
  <w:style w:type="character" w:customStyle="1" w:styleId="22">
    <w:name w:val="表格标题 字符"/>
    <w:basedOn w:val="23"/>
    <w:link w:val="21"/>
    <w:qFormat/>
    <w:uiPriority w:val="0"/>
    <w:rPr>
      <w:rFonts w:ascii="Times New Roman" w:hAnsi="Times New Roman" w:eastAsia="黑体" w:cs="黑体"/>
      <w:b w:val="0"/>
      <w:color w:val="000000"/>
      <w:kern w:val="28"/>
      <w:sz w:val="21"/>
      <w:szCs w:val="32"/>
    </w:rPr>
  </w:style>
  <w:style w:type="character" w:customStyle="1" w:styleId="23">
    <w:name w:val="副标题 Char1"/>
    <w:basedOn w:val="17"/>
    <w:link w:val="13"/>
    <w:autoRedefine/>
    <w:semiHidden/>
    <w:qFormat/>
    <w:uiPriority w:val="0"/>
    <w:rPr>
      <w:rFonts w:ascii="Times New Roman" w:hAnsi="Times New Roman" w:eastAsia="宋体"/>
      <w:b/>
      <w:bCs/>
      <w:kern w:val="28"/>
      <w:sz w:val="24"/>
      <w:szCs w:val="32"/>
    </w:rPr>
  </w:style>
  <w:style w:type="character" w:customStyle="1" w:styleId="24">
    <w:name w:val="标题 1 字符"/>
    <w:basedOn w:val="17"/>
    <w:link w:val="2"/>
    <w:qFormat/>
    <w:uiPriority w:val="0"/>
    <w:rPr>
      <w:rFonts w:ascii="Times New Roman" w:hAnsi="Times New Roman" w:eastAsia="宋体" w:cs="Times New Roman"/>
      <w:b/>
      <w:color w:val="000000" w:themeColor="text1"/>
      <w:kern w:val="2"/>
      <w:sz w:val="36"/>
      <w:szCs w:val="48"/>
      <w14:textFill>
        <w14:solidFill>
          <w14:schemeClr w14:val="tx1"/>
        </w14:solidFill>
      </w14:textFill>
      <w14:ligatures w14:val="standardContextual"/>
    </w:rPr>
  </w:style>
  <w:style w:type="character" w:customStyle="1" w:styleId="25">
    <w:name w:val="标题 5 Char"/>
    <w:link w:val="6"/>
    <w:qFormat/>
    <w:uiPriority w:val="0"/>
    <w:rPr>
      <w:rFonts w:ascii="Times New Roman" w:hAnsi="Times New Roman" w:eastAsia="宋体" w:cs="Times New Roman"/>
      <w:b/>
      <w:bCs/>
      <w:kern w:val="2"/>
      <w:sz w:val="24"/>
      <w:szCs w:val="28"/>
    </w:rPr>
  </w:style>
  <w:style w:type="character" w:customStyle="1" w:styleId="26">
    <w:name w:val="标题 7 Char1"/>
    <w:basedOn w:val="17"/>
    <w:link w:val="8"/>
    <w:semiHidden/>
    <w:qFormat/>
    <w:uiPriority w:val="0"/>
    <w:rPr>
      <w:rFonts w:ascii="Times New Roman" w:hAnsi="Times New Roman" w:eastAsia="宋体" w:cs="黑体"/>
      <w:b/>
      <w:bCs/>
      <w:kern w:val="2"/>
      <w:sz w:val="24"/>
      <w:szCs w:val="24"/>
    </w:rPr>
  </w:style>
  <w:style w:type="paragraph" w:customStyle="1" w:styleId="27">
    <w:name w:val="图表标题"/>
    <w:basedOn w:val="1"/>
    <w:qFormat/>
    <w:uiPriority w:val="0"/>
    <w:pPr>
      <w:widowControl/>
      <w:spacing w:line="240" w:lineRule="auto"/>
      <w:ind w:firstLine="0" w:firstLineChars="0"/>
      <w:jc w:val="center"/>
    </w:pPr>
    <w:rPr>
      <w:rFonts w:ascii="黑体" w:hAnsi="黑体" w:eastAsia="黑体" w:cs="黑体"/>
      <w:color w:val="000000"/>
      <w:kern w:val="0"/>
      <w:sz w:val="21"/>
      <w:szCs w:val="24"/>
      <w:lang w:bidi="ar"/>
    </w:rPr>
  </w:style>
  <w:style w:type="paragraph" w:customStyle="1" w:styleId="28">
    <w:name w:val="表格"/>
    <w:basedOn w:val="1"/>
    <w:qFormat/>
    <w:uiPriority w:val="0"/>
    <w:pPr>
      <w:spacing w:line="240" w:lineRule="auto"/>
      <w:ind w:firstLine="0" w:firstLineChars="0"/>
      <w:jc w:val="center"/>
    </w:pPr>
    <w:rPr>
      <w:rFonts w:ascii="宋体" w:hAnsi="宋体" w:eastAsia="宋体" w:cs="宋体"/>
      <w:b/>
      <w:sz w:val="21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8.png"/><Relationship Id="rId14" Type="http://schemas.openxmlformats.org/officeDocument/2006/relationships/image" Target="media/image7.jpe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2024-08-21T01:49:00Z</dcterms:created>
  <dc:creator>阿爽</dc:creator>
  <cp:lastModifiedBy>阿爽</cp:lastModifiedBy>
  <dcterms:modified xsi:type="dcterms:W3CDTF">2024-08-21T01:53:15Z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908047FC56B5442DB2CBAF23548BCD89_11</vt:lpwstr>
  </property>
</Properties>
</file>